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9E" w:rsidRPr="00856D9E" w:rsidRDefault="00856D9E" w:rsidP="0085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bookmarkStart w:id="0" w:name="sub_5555"/>
      <w:r w:rsidRPr="00856D9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Заклю</w:t>
      </w:r>
      <w:r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чение эксперТизы (ПО ДЕЛУ № 2017</w:t>
      </w:r>
      <w:r w:rsidRPr="00856D9E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/2)</w:t>
      </w:r>
    </w:p>
    <w:p w:rsidR="00856D9E" w:rsidRPr="00856D9E" w:rsidRDefault="00856D9E" w:rsidP="00856D9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 xml:space="preserve">По результатам ПРОВЕРКИ материалов </w:t>
      </w:r>
    </w:p>
    <w:p w:rsidR="00856D9E" w:rsidRPr="00856D9E" w:rsidRDefault="00856D9E" w:rsidP="00856D9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установлениЯ тарифов на подвоз ВОДы</w:t>
      </w:r>
    </w:p>
    <w:p w:rsidR="00856D9E" w:rsidRPr="00856D9E" w:rsidRDefault="00856D9E" w:rsidP="00856D9E">
      <w:pPr>
        <w:spacing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для МУП «ТКС»</w:t>
      </w:r>
    </w:p>
    <w:p w:rsidR="00856D9E" w:rsidRPr="00856D9E" w:rsidRDefault="00856D9E" w:rsidP="00856D9E">
      <w:pPr>
        <w:spacing w:after="0" w:line="240" w:lineRule="exact"/>
        <w:ind w:left="142" w:firstLine="142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bCs/>
          <w:caps/>
          <w:sz w:val="26"/>
          <w:szCs w:val="26"/>
          <w:lang w:eastAsia="ru-RU"/>
        </w:rPr>
        <w:tab/>
      </w:r>
    </w:p>
    <w:p w:rsidR="00856D9E" w:rsidRPr="00856D9E" w:rsidRDefault="00856D9E" w:rsidP="00856D9E">
      <w:pPr>
        <w:keepNext/>
        <w:spacing w:after="0" w:line="240" w:lineRule="auto"/>
        <w:ind w:left="360" w:firstLine="34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 xml:space="preserve">Экспертное заключение по установлению тарифов на подвоз воды для МУП «ТКС» (далее – Предприятие) подготовлено экспертами администрации Тангуйского сельского поселения (далее – Администрация) в соответствии со следующими нормативными правовыми актами: 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 от 7 декабря 2011 года № 416-ФЗ «О водоснабжении и водоотведении» (далее – Федеральный закон № 416-ФЗ);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  <w:tab w:val="left" w:pos="9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Правительства Российской Федерации от 13 мая 2013 года 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406 «О государственном регулировании тарифов в сфере водоснабжения и водоотведения», утвердившим Основы ценообразования в сфере водоснабжения и водоотведения (далее – Основы ценообразования), Правила регулирования тарифов в сфере водоснабжения и водоотведения (далее – Правила регулирования);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  <w:tab w:val="left" w:pos="9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ФСТ России от 27 декабря 2013 года № 1746-э «Об утверждении методических указаний по расчету регулируемых тарифов в сфере водоснабжения и водоотведения» (далее – Методические указания);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Иркутской области от 6 ноября 2012 года № 114-ОЗ «О наделении органов местного самоуправления отдельными областными государственными полномочиями в сфере водоснабжения и водоотведения»;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Положением о правлении по регулированию тарифов администрации Тангуйского сельского поселения, утвержденным постановлением администрации Тангуйского сельского поселения от 11 декабря 2014 г. </w:t>
      </w:r>
      <w:r w:rsidRPr="00856D9E">
        <w:rPr>
          <w:rFonts w:ascii="Times New Roman" w:eastAsia="Times New Roman" w:hAnsi="Times New Roman" w:cs="Times New Roman"/>
          <w:sz w:val="28"/>
          <w:szCs w:val="28"/>
          <w:lang w:eastAsia="ru-RU"/>
        </w:rPr>
        <w:t>№98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856D9E" w:rsidRPr="00856D9E" w:rsidRDefault="00856D9E" w:rsidP="00856D9E">
      <w:pPr>
        <w:numPr>
          <w:ilvl w:val="0"/>
          <w:numId w:val="1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другими нормативными правовыми актами в сфере регулирования тарифов в сфере водоснабжения и водоотведения.</w:t>
      </w:r>
    </w:p>
    <w:p w:rsidR="00856D9E" w:rsidRPr="00856D9E" w:rsidRDefault="00856D9E" w:rsidP="00856D9E">
      <w:pPr>
        <w:tabs>
          <w:tab w:val="left" w:pos="540"/>
        </w:tabs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6D9E" w:rsidRPr="00856D9E" w:rsidRDefault="00856D9E" w:rsidP="00856D9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Предприятие зарегистрировано в межрайонной инспекции Федеральной налоговой службы России № 15 по Иркутской области ОГРН № 1123805001418.</w:t>
      </w:r>
    </w:p>
    <w:p w:rsidR="00856D9E" w:rsidRPr="00856D9E" w:rsidRDefault="00856D9E" w:rsidP="00856D9E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подвоза воды Предприятие использует автомобиль ГАЗ-473894 (4616-0000014-01), объем цистерны 4,2 м3, переданный на основании договора безвозмездного пользования №6 от 29.10.2012, заключенного с администрацией Тангуйского сельского поселения, и дополнительного соглашения от 31.12.2015г. к договору безвозмездного пользования №6 от 29.10.2012г.</w:t>
      </w:r>
    </w:p>
    <w:p w:rsidR="00400476" w:rsidRDefault="00856D9E" w:rsidP="00856D9E">
      <w:pPr>
        <w:tabs>
          <w:tab w:val="left" w:pos="1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 и материал</w:t>
      </w:r>
      <w:r w:rsidR="00A70B2D">
        <w:rPr>
          <w:rFonts w:ascii="Times New Roman" w:eastAsia="Times New Roman" w:hAnsi="Times New Roman" w:cs="Times New Roman"/>
          <w:sz w:val="26"/>
          <w:szCs w:val="26"/>
          <w:lang w:eastAsia="ru-RU"/>
        </w:rPr>
        <w:t>ы на установление тарифа на 2018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Предприятием не представлены. Дело об установлении тарифа на под</w:t>
      </w:r>
      <w:r w:rsidR="00A70B2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 воды для Предприятия на 2018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открыто по инициативе </w:t>
      </w:r>
      <w:r w:rsidR="00A70B2D"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Администрации, исходя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имеющихся сведений о Предприятии в сопоставимых условиях (в том числе за предшествующие периоды регулирования) согласно п.15 Правил регулирования. </w:t>
      </w:r>
    </w:p>
    <w:p w:rsidR="00856D9E" w:rsidRPr="00856D9E" w:rsidRDefault="00856D9E" w:rsidP="00856D9E">
      <w:pPr>
        <w:tabs>
          <w:tab w:val="left" w:pos="1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 тарифа на подвоз воды произведено с учетом основных показателей прогноза социально-эк</w:t>
      </w:r>
      <w:r w:rsidR="00A70B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ономического развития РФ </w:t>
      </w:r>
      <w:r w:rsidR="002F0E70" w:rsidRPr="002F0E70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2018 год и плановый период 2019 и 2020 годы, разработанный Минэкономразвития РФ в октябре 2017 года</w:t>
      </w:r>
      <w:bookmarkStart w:id="1" w:name="_GoBack"/>
      <w:bookmarkEnd w:id="1"/>
    </w:p>
    <w:p w:rsidR="00856D9E" w:rsidRPr="00856D9E" w:rsidRDefault="00856D9E" w:rsidP="00856D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регулировании тарифов Предприятия в сфере </w:t>
      </w:r>
      <w:r w:rsidRPr="00856D9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водоснабжения 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 метод экономически обоснованных расходов (затрат) организации </w:t>
      </w:r>
      <w:proofErr w:type="spellStart"/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водопроводно</w:t>
      </w:r>
      <w:proofErr w:type="spellEnd"/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–канализационного хозяйства на регулируемый период исходя из </w:t>
      </w: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п.1 части 1 статьи 32 Федерального закона № 416-ФЗ.</w:t>
      </w:r>
    </w:p>
    <w:p w:rsidR="00856D9E" w:rsidRPr="00856D9E" w:rsidRDefault="00856D9E" w:rsidP="00856D9E">
      <w:pPr>
        <w:tabs>
          <w:tab w:val="left" w:pos="16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D9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Расчеты экономических расходов в разрезе статей затрат, а также расчеты необходимой валовой выручки и размера тарифа экспертов Администрации представлены далее.</w:t>
      </w:r>
      <w:bookmarkEnd w:id="0"/>
    </w:p>
    <w:p w:rsidR="00856D9E" w:rsidRPr="00856D9E" w:rsidRDefault="00856D9E" w:rsidP="00856D9E">
      <w:pPr>
        <w:sectPr w:rsidR="00856D9E" w:rsidRPr="00856D9E" w:rsidSect="00400476">
          <w:pgSz w:w="11906" w:h="16838"/>
          <w:pgMar w:top="567" w:right="707" w:bottom="709" w:left="993" w:header="0" w:footer="6" w:gutter="0"/>
          <w:cols w:space="708"/>
          <w:noEndnote/>
          <w:docGrid w:linePitch="360"/>
        </w:sectPr>
      </w:pPr>
    </w:p>
    <w:p w:rsidR="00856D9E" w:rsidRPr="00856D9E" w:rsidRDefault="00856D9E" w:rsidP="00856D9E">
      <w:pPr>
        <w:widowControl w:val="0"/>
        <w:autoSpaceDE w:val="0"/>
        <w:autoSpaceDN w:val="0"/>
        <w:spacing w:after="0" w:line="240" w:lineRule="auto"/>
        <w:ind w:right="-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Расчет необходимой валовой выручки для формирования тарифа на подвоз воды</w:t>
      </w:r>
    </w:p>
    <w:p w:rsidR="00856D9E" w:rsidRPr="00856D9E" w:rsidRDefault="00856D9E" w:rsidP="00856D9E">
      <w:pPr>
        <w:widowControl w:val="0"/>
        <w:autoSpaceDE w:val="0"/>
        <w:autoSpaceDN w:val="0"/>
        <w:spacing w:after="0" w:line="240" w:lineRule="auto"/>
        <w:ind w:right="-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методом экономически обоснованных расходов (затрат) для потребителей </w:t>
      </w:r>
      <w:r w:rsidRPr="00856D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МУП «ТКС»</w:t>
      </w:r>
      <w:r w:rsidRPr="0085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856D9E" w:rsidRPr="00856D9E" w:rsidRDefault="00856D9E" w:rsidP="00856D9E">
      <w:pPr>
        <w:widowControl w:val="0"/>
        <w:autoSpaceDE w:val="0"/>
        <w:autoSpaceDN w:val="0"/>
        <w:spacing w:after="0" w:line="240" w:lineRule="auto"/>
        <w:ind w:right="-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оказывающего услуги на территории Тангуйского муниципального образования </w:t>
      </w:r>
    </w:p>
    <w:p w:rsidR="00856D9E" w:rsidRPr="00856D9E" w:rsidRDefault="00856D9E" w:rsidP="00856D9E">
      <w:pPr>
        <w:widowControl w:val="0"/>
        <w:autoSpaceDE w:val="0"/>
        <w:autoSpaceDN w:val="0"/>
        <w:spacing w:after="0" w:line="240" w:lineRule="auto"/>
        <w:ind w:right="-34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56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Братского района </w:t>
      </w:r>
    </w:p>
    <w:p w:rsidR="00856D9E" w:rsidRPr="00856D9E" w:rsidRDefault="00856D9E" w:rsidP="00856D9E">
      <w:pPr>
        <w:spacing w:after="0" w:line="240" w:lineRule="auto"/>
        <w:ind w:right="4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05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1"/>
        <w:gridCol w:w="4910"/>
        <w:gridCol w:w="1096"/>
        <w:gridCol w:w="1211"/>
        <w:gridCol w:w="1234"/>
        <w:gridCol w:w="1187"/>
        <w:gridCol w:w="4303"/>
        <w:gridCol w:w="1219"/>
      </w:tblGrid>
      <w:tr w:rsidR="00856D9E" w:rsidRPr="00856D9E" w:rsidTr="00A676A0">
        <w:trPr>
          <w:trHeight w:val="982"/>
          <w:tblHeader/>
        </w:trPr>
        <w:tc>
          <w:tcPr>
            <w:tcW w:w="891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Единица</w:t>
            </w: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измерений</w:t>
            </w:r>
          </w:p>
        </w:tc>
        <w:tc>
          <w:tcPr>
            <w:tcW w:w="1211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 (утверждено 18.12.2015г. №99)</w:t>
            </w:r>
          </w:p>
        </w:tc>
        <w:tc>
          <w:tcPr>
            <w:tcW w:w="1234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 (утверждено 20.12.2016 г. № 238)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расчету экспертов на 2018 год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Основания, по которым произведен расчет экспертами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Рост по отношению к базовому периоду, 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1" w:type="dxa"/>
            <w:gridSpan w:val="4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Баланс: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  <w:noWrap/>
            <w:vAlign w:val="bottom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56D9E" w:rsidRPr="00856D9E" w:rsidTr="00A676A0">
        <w:trPr>
          <w:trHeight w:val="675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подвозимой воды, в том числе: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3 497,80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3 497,80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3 497,80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п.29 Основ ценообразования; п.4-10 Методических указаний, Приложение 1 и 1.1 к Методическим указаниям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40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воды, используемой на производственные нужды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6,00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6,00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6,00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приняты 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42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объем подвозимой воды без собственного потребления, в том числе: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3 491,80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3 491,80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3 491,80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27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населению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3 468,00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3 468,00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3 468,00 </w:t>
            </w:r>
          </w:p>
        </w:tc>
        <w:tc>
          <w:tcPr>
            <w:tcW w:w="4303" w:type="dxa"/>
            <w:vMerge w:val="restart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Объемы приняты 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бюджетным потребителям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19,00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19,00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19,00 </w:t>
            </w:r>
          </w:p>
        </w:tc>
        <w:tc>
          <w:tcPr>
            <w:tcW w:w="4303" w:type="dxa"/>
            <w:vMerge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1.2.3.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прочим потребителям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4,80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4,80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4,80 </w:t>
            </w:r>
          </w:p>
        </w:tc>
        <w:tc>
          <w:tcPr>
            <w:tcW w:w="4303" w:type="dxa"/>
            <w:vMerge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369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51" w:type="dxa"/>
            <w:gridSpan w:val="4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Расчет необходимой валовой выручки: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IX Основ ценообразования; глава VII Методических указаний</w:t>
            </w:r>
          </w:p>
        </w:tc>
        <w:tc>
          <w:tcPr>
            <w:tcW w:w="1219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Является плательщиком НДС (да/нет)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336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891,1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п.58-65 Основ ценообразования; глава VI.I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103,3%</w:t>
            </w:r>
          </w:p>
        </w:tc>
      </w:tr>
      <w:tr w:rsidR="00856D9E" w:rsidRPr="00856D9E" w:rsidTr="00A676A0">
        <w:trPr>
          <w:trHeight w:val="485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Операционные расходы (ОР)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813,5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850,4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878,8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п.21-23, 39-42, 48-52, 59-61 Основ ценообразования; п.17-26, 44-45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103,3%</w:t>
            </w:r>
          </w:p>
        </w:tc>
      </w:tr>
      <w:tr w:rsidR="00856D9E" w:rsidRPr="00856D9E" w:rsidTr="00A676A0">
        <w:trPr>
          <w:trHeight w:val="42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679,422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711,615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735,637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п.39 Основ ценообразования; п.16-18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103,4%</w:t>
            </w:r>
          </w:p>
        </w:tc>
      </w:tr>
      <w:tr w:rsidR="00856D9E" w:rsidRPr="00856D9E" w:rsidTr="00A676A0">
        <w:trPr>
          <w:trHeight w:val="413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приобретение сырья и материалов и их хранение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105,173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103,2%</w:t>
            </w:r>
          </w:p>
        </w:tc>
      </w:tr>
      <w:tr w:rsidR="00856D9E" w:rsidRPr="00856D9E" w:rsidTr="00A676A0">
        <w:trPr>
          <w:trHeight w:val="3256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</w:t>
            </w: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.1.1.2.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Горюче-смазочные материалы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95,637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101,912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105,173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Для подвоза воды Предприятие использует автомобиль ГАЗ-473894 (4616-0000014-01), объем цистерн 4,2  м3 на основании договора безвозмездного пользования №6 от 29.10.2012г заключенного с Тангуйским МО. Норма расхода топлива -17 л/100 км. Учтены среднегодовая зимняя надбавка - 6,75%, надбавка за работу в условиях, требующих частых остановок - 10%, надбавка для автомобилей находящихся в эксплуатации более 5 лет - 5%. Расходы на ГСМ приняты по базовому периоду регулирования с учетом индекса-дефлятора по отрасли «производство нефтепродуктов» 103,2%, согласно прогнозу социально-экономического развития РФ на 2018 год и плановый период 2019 и 2020 годы, разработанный Минэкономразвития РФ в октябре 2017 года.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103,2%</w:t>
            </w:r>
          </w:p>
        </w:tc>
      </w:tr>
      <w:tr w:rsidR="00856D9E" w:rsidRPr="00856D9E" w:rsidTr="00A676A0">
        <w:trPr>
          <w:trHeight w:val="363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энергетические ресурсы и холодную воду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257,193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267,931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276,046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1.1.1.2.3.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Холодная вода: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257,193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267,931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276,046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объем питьевой воды, м3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3 497,80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3 497,8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3 497,8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вышеприведенным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107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тариф на питьевую воду, руб/м3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73,53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76,60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78,92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Стоимость воды принята на уровне, рассчитанном для Предприятия на 2018 год в рамках подготовки экспертного заключения о корректировке тарифов на питьевую воду для потребителей МУП "ТКС" (по делу 2017/1)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103,0%</w:t>
            </w:r>
          </w:p>
        </w:tc>
      </w:tr>
      <w:tr w:rsidR="00856D9E" w:rsidRPr="00856D9E" w:rsidTr="00A676A0">
        <w:trPr>
          <w:trHeight w:val="42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1.1.1.3.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регулируемыми организациями выполняемых сторонними организациями работ и (или) услуг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Предприятием не заявлено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64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1.1.1.4.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труда и страховые взносы производственного персонала,</w:t>
            </w: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том числе: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298,4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55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1.1.1.4.1.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основного производственного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248,9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1128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оплата труда основного производственного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руб./мес.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19 100,7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19 998,5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20738,4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среднемесячной оплаты труда принят по базовому периоду с ИПЦ 103,7% согласно прогнозу социально-экономического развития РФ на 2018 год и плановый период 2019 и 2020 годы, разработанный Минэкономразвития РФ в октябре 2017 года.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549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300" w:firstLine="54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(среднесписочная) основного производственного персонала, принятая для расчета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1,0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2115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1.1.1.4.2.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от оплаты труда основного производственного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72,5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75,2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ст.58 Федерального закона от 24 июля 2009 года № 212-ФЗ "О страховых взносах в Пенсионный фонд РФ, Фонд социального страхования РФ, Федеральный фонд ОМС и территориальные фонды ОМС" сумма страховых взносов составляет 30%. Учитывая страховые взносы в ФСС от несчастных случаев на производстве и профессиональных заболеваний в размере 0,2%, отчисления на соц.нужды составят 30,2%.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1.1.1.7.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производственные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28,162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29,316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30,401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125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1.1.1.7.1.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Затраты на содержание гаража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26,328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27,396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28,410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Затраты на содержание гаража приняты по базовому периоду с ИПЦ 103,7% согласно прогнозу социально-экономического развития РФ на 2018 год и плановый период 2019 и 2020 годы, разработанный Минэкономразвития РФ в октябре 2017 года. 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59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1.1.1.7.4.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Банковские услуги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1,834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1,920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1,991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приняты в размере 0,8% от фонда оплаты труда основного производственного персонала 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373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Ремонтные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14,269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14,269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14,797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п.40, 51 Основ ценообразования; п.23-24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378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1.1.2.1.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текущий ремонт 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14,269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14,269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14,797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текущий ремонт приняты по базовому периоду с ИПЦ 103,7% согласно прогнозу социально-экономического развития РФ на 2018 год и плановый период 2019 и 2020 годы, разработанный Минэкономразвития РФ в октябре 2017 года.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243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Административные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119,806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124,519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128,404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103,1%</w:t>
            </w:r>
          </w:p>
        </w:tc>
      </w:tr>
      <w:tr w:rsidR="00856D9E" w:rsidRPr="00856D9E" w:rsidTr="00A676A0">
        <w:trPr>
          <w:trHeight w:val="274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Фонд оплаты труда административного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77,019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80,639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83,622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1129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Среднемесячная оплата труда административного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руб./мес.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21 196,9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22 193,1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23014,3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Размер среднемесячной оплаты труда принят по базовому с ИПЦ 103,7% согласно прогнозу социально-экономического развития РФ на 2018 год и плановый период 2019 и 2020 годы, разработанный Минэкономразвития РФ в октябре 2017 года. 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55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Численность (среднесписочная) административного персонала, относимая на регулируемый вид деятельности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0,30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417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1.1.3.2.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Страховые взносы от оплаты труда административного персонала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23,260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24,353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25,254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Отчисления на соц.нужды 30,2%.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103,7%</w:t>
            </w:r>
          </w:p>
        </w:tc>
      </w:tr>
      <w:tr w:rsidR="00856D9E" w:rsidRPr="00856D9E" w:rsidTr="00A676A0">
        <w:trPr>
          <w:trHeight w:val="55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1.1.3.3.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административные расходы: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19,528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19,528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19,528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приняты 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41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Неподконтрольные расходы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п.65 Основ ценообразования; п.49-52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101,7%</w:t>
            </w:r>
          </w:p>
        </w:tc>
      </w:tr>
      <w:tr w:rsidR="00856D9E" w:rsidRPr="00856D9E" w:rsidTr="00A676A0">
        <w:trPr>
          <w:trHeight w:val="699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оплату товаров (услуг, работ), приобретаемых у других организаций, осуществляющих регулируемые виды деятельности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Предприятием не заявлено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856D9E" w:rsidRPr="00856D9E" w:rsidTr="00A676A0">
        <w:trPr>
          <w:trHeight w:val="41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уплату налогов, сборов и других обязательных платежей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1.2.2.1.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0,0 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Предприятием не заявлено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856D9E" w:rsidRPr="00856D9E" w:rsidTr="00A676A0">
        <w:trPr>
          <w:trHeight w:val="251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транспорта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6,063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6,063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приняты по базовому периоду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1.2.2.2.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100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налоги и сборы: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5,405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5,680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5,945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нижеприведенным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103,5%</w:t>
            </w:r>
          </w:p>
        </w:tc>
      </w:tr>
      <w:tr w:rsidR="00856D9E" w:rsidRPr="00856D9E" w:rsidTr="00A676A0">
        <w:trPr>
          <w:trHeight w:val="812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налог, уплачиваемый организацией, применяющей упрощенную систему налогообложения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5,680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5,945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6,150</w:t>
            </w:r>
          </w:p>
        </w:tc>
        <w:tc>
          <w:tcPr>
            <w:tcW w:w="4303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приняты в соответствии со ст. 346.18 НК РФ в размере 1% от доходов без учета затрат на холодную воду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103,5%</w:t>
            </w:r>
          </w:p>
        </w:tc>
      </w:tr>
      <w:tr w:rsidR="00856D9E" w:rsidRPr="00856D9E" w:rsidTr="00A676A0">
        <w:trPr>
          <w:trHeight w:val="413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Амортизация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п.77 Основ ценообразования; п.28, 89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418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Нормативная прибыль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п.78 Основ ценообразования; п.86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41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910" w:type="dxa"/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Расчетная предпринимательская прибыль гарантирующей организации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п.78(1) Основ ценообразования; п.86(1) Методических указаний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Необходимая валовая выручка (НДС не облагается)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 руб.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825,2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862,4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891,1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вышеприведенным основаниям.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103,3%</w:t>
            </w:r>
          </w:p>
        </w:tc>
      </w:tr>
      <w:tr w:rsidR="00856D9E" w:rsidRPr="00856D9E" w:rsidTr="00A676A0">
        <w:trPr>
          <w:trHeight w:val="379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(НДС не облагается)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руб./куб. м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235,93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246,56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254,75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Определяется исходя из принятой необходимой валовой выручки и объема полезного отпуска услуг.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103,3%</w:t>
            </w:r>
          </w:p>
        </w:tc>
      </w:tr>
      <w:tr w:rsidR="00856D9E" w:rsidRPr="00856D9E" w:rsidTr="00A676A0">
        <w:trPr>
          <w:trHeight w:val="300"/>
        </w:trPr>
        <w:tc>
          <w:tcPr>
            <w:tcW w:w="89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910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Темп роста тарифа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211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105,2%</w:t>
            </w:r>
          </w:p>
        </w:tc>
        <w:tc>
          <w:tcPr>
            <w:tcW w:w="1234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104,5%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103,3%</w:t>
            </w:r>
          </w:p>
        </w:tc>
        <w:tc>
          <w:tcPr>
            <w:tcW w:w="4303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9" w:type="dxa"/>
            <w:shd w:val="clear" w:color="auto" w:fill="auto"/>
            <w:hideMark/>
          </w:tcPr>
          <w:p w:rsidR="00856D9E" w:rsidRPr="00856D9E" w:rsidRDefault="00856D9E" w:rsidP="00856D9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856D9E" w:rsidRPr="00856D9E" w:rsidRDefault="00856D9E" w:rsidP="00856D9E">
      <w:pPr>
        <w:spacing w:after="0" w:line="240" w:lineRule="auto"/>
        <w:ind w:left="8496" w:right="46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9E" w:rsidRPr="00856D9E" w:rsidRDefault="00856D9E" w:rsidP="00856D9E">
      <w:pPr>
        <w:spacing w:after="0" w:line="240" w:lineRule="auto"/>
        <w:ind w:right="46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9E" w:rsidRPr="00856D9E" w:rsidRDefault="00856D9E" w:rsidP="00856D9E">
      <w:pPr>
        <w:spacing w:after="0" w:line="240" w:lineRule="auto"/>
        <w:ind w:left="8496" w:right="46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6D9E" w:rsidRPr="00856D9E" w:rsidRDefault="00856D9E" w:rsidP="00856D9E">
      <w:pPr>
        <w:spacing w:after="0" w:line="240" w:lineRule="auto"/>
        <w:ind w:left="8496" w:right="463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6317" w:type="dxa"/>
        <w:tblInd w:w="93" w:type="dxa"/>
        <w:tblLayout w:type="fixed"/>
        <w:tblLook w:val="04A0"/>
      </w:tblPr>
      <w:tblGrid>
        <w:gridCol w:w="6394"/>
        <w:gridCol w:w="1134"/>
        <w:gridCol w:w="1715"/>
        <w:gridCol w:w="1715"/>
        <w:gridCol w:w="1715"/>
        <w:gridCol w:w="3644"/>
      </w:tblGrid>
      <w:tr w:rsidR="00856D9E" w:rsidRPr="00856D9E" w:rsidTr="00A676A0">
        <w:trPr>
          <w:trHeight w:val="375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 экспертного заключения</w:t>
            </w:r>
            <w:r w:rsidR="004004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6D9E" w:rsidRPr="00856D9E" w:rsidRDefault="00856D9E" w:rsidP="00856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6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Фролова О.В.</w:t>
            </w:r>
          </w:p>
        </w:tc>
      </w:tr>
    </w:tbl>
    <w:p w:rsidR="00856D9E" w:rsidRPr="00856D9E" w:rsidRDefault="00856D9E" w:rsidP="00856D9E">
      <w:pPr>
        <w:widowControl w:val="0"/>
        <w:autoSpaceDE w:val="0"/>
        <w:autoSpaceDN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0445" w:rsidRDefault="00380445"/>
    <w:sectPr w:rsidR="00380445" w:rsidSect="00856D9E">
      <w:pgSz w:w="16838" w:h="11906" w:orient="landscape"/>
      <w:pgMar w:top="993" w:right="4080" w:bottom="993" w:left="284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B66FC"/>
    <w:multiLevelType w:val="hybridMultilevel"/>
    <w:tmpl w:val="4FD8A4BE"/>
    <w:lvl w:ilvl="0" w:tplc="E9AE69D8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/>
  <w:rsids>
    <w:rsidRoot w:val="00EF3F70"/>
    <w:rsid w:val="002F0E70"/>
    <w:rsid w:val="00380445"/>
    <w:rsid w:val="00400476"/>
    <w:rsid w:val="006F3407"/>
    <w:rsid w:val="00856D9E"/>
    <w:rsid w:val="00A70B2D"/>
    <w:rsid w:val="00AC6CDD"/>
    <w:rsid w:val="00EF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2018-01-09T07:45:00Z</dcterms:created>
  <dcterms:modified xsi:type="dcterms:W3CDTF">2018-01-10T03:55:00Z</dcterms:modified>
</cp:coreProperties>
</file>